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等线" w:hAnsi="等线" w:eastAsia="等线"/>
          <w:b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等线" w:hAnsi="等线" w:eastAsia="等线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逸青糠酸莫米松鼻喷雾剂</w:t>
      </w:r>
      <w:r>
        <w:rPr>
          <w:rFonts w:hint="eastAsia" w:ascii="等线" w:hAnsi="等线" w:eastAsia="等线"/>
          <w:b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介绍</w:t>
      </w:r>
    </w:p>
    <w:bookmarkEnd w:id="0"/>
    <w:p>
      <w:pPr>
        <w:widowControl/>
        <w:shd w:val="clear" w:color="auto" w:fill="FFFFFF"/>
        <w:spacing w:line="390" w:lineRule="atLeast"/>
        <w:ind w:firstLine="480"/>
        <w:jc w:val="left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</w:rPr>
        <w:t>糠酸莫米松鼻喷雾剂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，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是由浙江仙琚制药股份有限公司研发、生产的一款</w:t>
      </w:r>
      <w:r>
        <w:rPr>
          <w:rFonts w:hint="eastAsia" w:ascii="等线" w:hAnsi="等线" w:eastAsia="等线" w:cs="Arial"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  <w:t>喷雾剂</w:t>
      </w:r>
      <w:r>
        <w:rPr>
          <w:rFonts w:hint="eastAsia" w:ascii="等线" w:hAnsi="等线" w:eastAsia="等线" w:cs="Arial"/>
          <w:color w:val="000000" w:themeColor="text1"/>
          <w:kern w:val="0"/>
          <w:sz w:val="24"/>
          <w:szCs w:val="18"/>
          <w:lang w:val="en-US" w:eastAsia="zh-CN"/>
          <w14:textFill>
            <w14:solidFill>
              <w14:schemeClr w14:val="tx1"/>
            </w14:solidFill>
          </w14:textFill>
        </w:rPr>
        <w:t>药品。</w:t>
      </w:r>
      <w:r>
        <w:rPr>
          <w:rFonts w:hint="default" w:ascii="等线" w:hAnsi="等线" w:eastAsia="等线" w:cs="等线"/>
          <w:sz w:val="24"/>
          <w:szCs w:val="24"/>
          <w:lang w:val="en-US" w:eastAsia="zh-CN"/>
        </w:rPr>
        <w:t>适用于治疗成人、青少年和3至11岁儿童季节性或常年性鼻炎，对于曾有中至重度季节性过敏性鼻炎症状的12岁以上的患者。</w:t>
      </w:r>
    </w:p>
    <w:p>
      <w:pPr>
        <w:ind w:firstLine="0" w:firstLineChars="0"/>
        <w:rPr>
          <w:rFonts w:ascii="等线" w:hAnsi="等线" w:eastAsia="等线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基本信息栏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ascii="等线" w:hAnsi="等线" w:eastAsia="等线" w:cs="Arial"/>
          <w:b/>
          <w:bCs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Arial"/>
          <w:b/>
          <w:bCs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  <w:t>中</w:t>
      </w:r>
      <w:r>
        <w:rPr>
          <w:rFonts w:ascii="等线" w:hAnsi="等线" w:eastAsia="等线" w:cs="Arial"/>
          <w:b/>
          <w:bCs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  <w:t>文名</w:t>
      </w:r>
      <w:r>
        <w:rPr>
          <w:rFonts w:hint="eastAsia" w:ascii="等线" w:hAnsi="等线" w:eastAsia="等线" w:cs="Arial"/>
          <w:b/>
          <w:bCs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等线" w:hAnsi="等线" w:eastAsia="等线" w:cs="Arial"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  <w:t>糠酸莫米松鼻喷雾剂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hint="eastAsia" w:ascii="等线" w:hAnsi="等线" w:eastAsia="等线" w:cs="Arial"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Arial"/>
          <w:b/>
          <w:bCs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  <w:t>外文</w:t>
      </w:r>
      <w:r>
        <w:rPr>
          <w:rFonts w:ascii="等线" w:hAnsi="等线" w:eastAsia="等线" w:cs="Arial"/>
          <w:b/>
          <w:bCs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等线" w:hAnsi="等线" w:eastAsia="等线" w:cs="Arial"/>
          <w:b/>
          <w:bCs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等线" w:hAnsi="等线" w:eastAsia="等线" w:cs="Arial"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  <w:t>Mometasone Furoate Nasal Spray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hint="default" w:ascii="等线" w:hAnsi="等线" w:eastAsia="等线" w:cs="Arial"/>
          <w:color w:val="000000" w:themeColor="text1"/>
          <w:kern w:val="0"/>
          <w:sz w:val="24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Arial"/>
          <w:b/>
          <w:bCs/>
          <w:color w:val="000000" w:themeColor="text1"/>
          <w:kern w:val="0"/>
          <w:sz w:val="24"/>
          <w:szCs w:val="18"/>
          <w:lang w:val="en-US" w:eastAsia="zh-CN"/>
          <w14:textFill>
            <w14:solidFill>
              <w14:schemeClr w14:val="tx1"/>
            </w14:solidFill>
          </w14:textFill>
        </w:rPr>
        <w:t>汉语拼音：</w:t>
      </w:r>
      <w:r>
        <w:rPr>
          <w:rFonts w:hint="eastAsia" w:ascii="等线" w:hAnsi="等线" w:eastAsia="等线" w:cs="Arial"/>
          <w:color w:val="000000" w:themeColor="text1"/>
          <w:kern w:val="0"/>
          <w:sz w:val="24"/>
          <w:szCs w:val="18"/>
          <w:lang w:val="en-US" w:eastAsia="zh-CN"/>
          <w14:textFill>
            <w14:solidFill>
              <w14:schemeClr w14:val="tx1"/>
            </w14:solidFill>
          </w14:textFill>
        </w:rPr>
        <w:t>Kangsuan Momisong Bi Penwuji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ascii="等线" w:hAnsi="等线" w:eastAsia="等线" w:cs="Arial"/>
          <w:b/>
          <w:bCs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Arial"/>
          <w:b/>
          <w:bCs/>
          <w:color w:val="000000" w:themeColor="text1"/>
          <w:kern w:val="0"/>
          <w:sz w:val="24"/>
          <w:szCs w:val="18"/>
          <w:lang w:val="en-US" w:eastAsia="zh-CN"/>
          <w14:textFill>
            <w14:solidFill>
              <w14:schemeClr w14:val="tx1"/>
            </w14:solidFill>
          </w14:textFill>
        </w:rPr>
        <w:t>品牌名称</w:t>
      </w:r>
      <w:r>
        <w:rPr>
          <w:rFonts w:hint="eastAsia" w:ascii="等线" w:hAnsi="等线" w:eastAsia="等线" w:cs="Arial"/>
          <w:b/>
          <w:bCs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等线" w:hAnsi="等线" w:eastAsia="等线" w:cs="Arial"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  <w:t>逸青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hint="eastAsia" w:ascii="等线" w:hAnsi="等线" w:eastAsia="等线" w:cs="等线"/>
          <w:sz w:val="24"/>
          <w:szCs w:val="24"/>
        </w:rPr>
      </w:pPr>
      <w:r>
        <w:rPr>
          <w:rFonts w:ascii="等线" w:hAnsi="等线" w:eastAsia="等线" w:cs="Arial"/>
          <w:b/>
          <w:bCs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  <w:t>所属</w:t>
      </w:r>
      <w:r>
        <w:rPr>
          <w:rFonts w:hint="eastAsia" w:ascii="等线" w:hAnsi="等线" w:eastAsia="等线" w:cs="Arial"/>
          <w:b/>
          <w:bCs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  <w:t>公司：</w:t>
      </w:r>
      <w:r>
        <w:rPr>
          <w:rFonts w:hint="eastAsia" w:ascii="等线" w:hAnsi="等线" w:eastAsia="等线" w:cs="等线"/>
          <w:sz w:val="24"/>
          <w:szCs w:val="24"/>
        </w:rPr>
        <w:t>浙江仙琚制药股份有限公司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hint="eastAsia" w:ascii="等线" w:hAnsi="等线" w:eastAsia="等线" w:cs="Arial"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Arial"/>
          <w:b/>
          <w:bCs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  <w:t>剂型：</w:t>
      </w:r>
      <w:r>
        <w:rPr>
          <w:rFonts w:hint="eastAsia" w:ascii="等线" w:hAnsi="等线" w:eastAsia="等线" w:cs="Arial"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  <w:t>喷雾剂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hint="default" w:ascii="等线" w:hAnsi="等线" w:eastAsia="等线" w:cs="Arial"/>
          <w:color w:val="000000" w:themeColor="text1"/>
          <w:kern w:val="0"/>
          <w:sz w:val="24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Arial"/>
          <w:b/>
          <w:bCs/>
          <w:color w:val="000000" w:themeColor="text1"/>
          <w:kern w:val="0"/>
          <w:sz w:val="24"/>
          <w:szCs w:val="18"/>
          <w:lang w:val="en-US" w:eastAsia="zh-CN"/>
          <w14:textFill>
            <w14:solidFill>
              <w14:schemeClr w14:val="tx1"/>
            </w14:solidFill>
          </w14:textFill>
        </w:rPr>
        <w:t>产品类别：</w:t>
      </w:r>
      <w:r>
        <w:rPr>
          <w:rFonts w:hint="eastAsia" w:ascii="等线" w:hAnsi="等线" w:eastAsia="等线" w:cs="Arial"/>
          <w:color w:val="000000" w:themeColor="text1"/>
          <w:kern w:val="0"/>
          <w:sz w:val="24"/>
          <w:szCs w:val="18"/>
          <w:lang w:val="en-US" w:eastAsia="zh-CN"/>
          <w14:textFill>
            <w14:solidFill>
              <w14:schemeClr w14:val="tx1"/>
            </w14:solidFill>
          </w14:textFill>
        </w:rPr>
        <w:t>化学药品</w:t>
      </w:r>
    </w:p>
    <w:p>
      <w:pPr>
        <w:ind w:firstLine="0" w:firstLineChars="0"/>
        <w:rPr>
          <w:rFonts w:hint="default" w:ascii="等线" w:hAnsi="等线" w:eastAsia="等线" w:cs="等线"/>
          <w:b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sz w:val="28"/>
          <w:szCs w:val="28"/>
          <w:lang w:val="en-US" w:eastAsia="zh-CN"/>
        </w:rPr>
        <w:t>适应症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hint="default" w:ascii="等线" w:hAnsi="等线" w:eastAsia="等线" w:cs="等线"/>
          <w:sz w:val="24"/>
          <w:szCs w:val="24"/>
          <w:lang w:val="en-US" w:eastAsia="zh-CN"/>
        </w:rPr>
      </w:pPr>
      <w:r>
        <w:rPr>
          <w:rFonts w:hint="default" w:ascii="等线" w:hAnsi="等线" w:eastAsia="等线" w:cs="等线"/>
          <w:sz w:val="24"/>
          <w:szCs w:val="24"/>
          <w:lang w:val="en-US" w:eastAsia="zh-CN"/>
        </w:rPr>
        <w:t>适用于治疗成人、青少年和3至11岁儿童季节性或常年性鼻炎，对于曾有中至重度季节性过敏性鼻炎症状的12岁以上的患者。</w:t>
      </w:r>
    </w:p>
    <w:p>
      <w:pPr>
        <w:ind w:firstLine="0" w:firstLineChars="0"/>
        <w:rPr>
          <w:rFonts w:hint="eastAsia" w:ascii="等线" w:hAnsi="等线" w:eastAsia="等线" w:cs="等线"/>
          <w:b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sz w:val="28"/>
          <w:szCs w:val="28"/>
          <w:lang w:val="en-US" w:eastAsia="zh-CN"/>
        </w:rPr>
        <w:t>用法用量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季节过敏性或常年性鼻炎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通常先手揿喷雾器6～7次作为启动，直至看到均匀的喷雾，然后鼻腔给药,每揿喷出糠酸莫米松混悬液约100mg，内含糠酸莫米松50μg，如果喷雾器停用14日或14日以上，则在下一次应用时应重新启动。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在每次用药前充分振摇容器。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成人（包括老年患者）和青年：用于预防和治疗的常用推荐量为每侧鼻孔2揿（每揿为50μg），一日1次（总量为200μg），一旦症状被控制后，剂量可减至每侧鼻孔1揿（总量100μg），即能维持疗效。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如果症状未被有效控制，可增加剂量至每侧鼻孔4揿的最大每日剂量，一日1次（总量 400μg），在症状控制后减小剂量。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在首次给药后12小时即能产生明显的临床效果。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3至11岁儿童：常用推荐量为每侧鼻孔1揿（每揿为50μg），一日1次（总量为100μg）。</w:t>
      </w:r>
    </w:p>
    <w:p>
      <w:pPr>
        <w:ind w:firstLine="0" w:firstLineChars="0"/>
        <w:rPr>
          <w:rFonts w:hint="eastAsia" w:ascii="等线" w:hAnsi="等线" w:eastAsia="等线" w:cs="等线"/>
          <w:b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sz w:val="28"/>
          <w:szCs w:val="28"/>
          <w:lang w:val="en-US" w:eastAsia="zh-CN"/>
        </w:rPr>
        <w:t>规格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hint="default" w:ascii="等线" w:hAnsi="等线" w:eastAsia="等线" w:cs="等线"/>
          <w:sz w:val="24"/>
          <w:szCs w:val="24"/>
          <w:lang w:val="en-US" w:eastAsia="zh-CN"/>
        </w:rPr>
      </w:pPr>
      <w:r>
        <w:rPr>
          <w:rFonts w:hint="default" w:ascii="等线" w:hAnsi="等线" w:eastAsia="等线" w:cs="等线"/>
          <w:sz w:val="24"/>
          <w:szCs w:val="24"/>
          <w:lang w:val="en-US" w:eastAsia="zh-CN"/>
        </w:rPr>
        <w:t>每瓶60揿，每揿含糠酸莫米松50μg，药液浓度为0.05%(g/g)</w:t>
      </w:r>
    </w:p>
    <w:p>
      <w:pPr>
        <w:ind w:firstLine="0" w:firstLineChars="0"/>
        <w:rPr>
          <w:rFonts w:hint="eastAsia" w:ascii="等线" w:hAnsi="等线" w:eastAsia="等线" w:cs="等线"/>
          <w:b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sz w:val="28"/>
          <w:szCs w:val="28"/>
          <w:lang w:val="en-US" w:eastAsia="zh-CN"/>
        </w:rPr>
        <w:t>贮藏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在2℃～25℃保存。</w:t>
      </w:r>
    </w:p>
    <w:p>
      <w:pPr>
        <w:ind w:firstLine="0" w:firstLineChars="0"/>
        <w:rPr>
          <w:rFonts w:hint="eastAsia" w:ascii="等线" w:hAnsi="等线" w:eastAsia="等线" w:cs="等线"/>
          <w:b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sz w:val="28"/>
          <w:szCs w:val="28"/>
          <w:lang w:val="en-US" w:eastAsia="zh-CN"/>
        </w:rPr>
        <w:t>包装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药用聚酯瓶包装，每盒1瓶，每瓶60喷</w:t>
      </w:r>
    </w:p>
    <w:p>
      <w:pPr>
        <w:ind w:firstLine="0" w:firstLineChars="0"/>
        <w:rPr>
          <w:rFonts w:hint="eastAsia" w:ascii="等线" w:hAnsi="等线" w:eastAsia="等线" w:cs="等线"/>
          <w:b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sz w:val="28"/>
          <w:szCs w:val="28"/>
          <w:lang w:val="en-US" w:eastAsia="zh-CN"/>
        </w:rPr>
        <w:t>有效期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24个月</w:t>
      </w:r>
    </w:p>
    <w:p>
      <w:pPr>
        <w:ind w:firstLine="0" w:firstLineChars="0"/>
        <w:rPr>
          <w:rFonts w:hint="eastAsia" w:ascii="等线" w:hAnsi="等线" w:eastAsia="等线" w:cs="等线"/>
          <w:b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sz w:val="28"/>
          <w:szCs w:val="28"/>
          <w:lang w:val="en-US" w:eastAsia="zh-CN"/>
        </w:rPr>
        <w:t>批准文号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hint="default" w:ascii="等线" w:hAnsi="等线" w:eastAsia="等线" w:cs="等线"/>
          <w:b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国药准字H20113481</w:t>
      </w:r>
    </w:p>
    <w:p>
      <w:pPr>
        <w:ind w:firstLine="0" w:firstLineChars="0"/>
        <w:rPr>
          <w:rFonts w:hint="eastAsia" w:ascii="等线" w:hAnsi="等线" w:eastAsia="等线" w:cs="等线"/>
          <w:b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sz w:val="28"/>
          <w:szCs w:val="28"/>
          <w:lang w:val="en-US" w:eastAsia="zh-CN"/>
        </w:rPr>
        <w:t>生产企业</w:t>
      </w:r>
    </w:p>
    <w:p>
      <w:pPr>
        <w:spacing w:line="120" w:lineRule="auto"/>
        <w:ind w:firstLine="480"/>
        <w:jc w:val="left"/>
        <w:rPr>
          <w:rFonts w:hint="default" w:ascii="等线" w:hAnsi="等线" w:eastAsia="等线" w:cs="等线"/>
          <w:sz w:val="24"/>
          <w:szCs w:val="24"/>
          <w:lang w:val="en-US" w:eastAsia="zh-CN"/>
        </w:rPr>
      </w:pPr>
      <w:r>
        <w:rPr>
          <w:rFonts w:hint="default" w:ascii="等线" w:hAnsi="等线" w:eastAsia="等线" w:cs="等线"/>
          <w:sz w:val="24"/>
          <w:szCs w:val="24"/>
          <w:lang w:val="en-US" w:eastAsia="zh-CN"/>
        </w:rPr>
        <w:t>上市许可持有人：浙江仙琚制药股份有限公司</w:t>
      </w:r>
    </w:p>
    <w:p>
      <w:pPr>
        <w:spacing w:line="120" w:lineRule="auto"/>
        <w:ind w:firstLine="480"/>
        <w:jc w:val="left"/>
        <w:rPr>
          <w:rFonts w:hint="default" w:ascii="等线" w:hAnsi="等线" w:eastAsia="等线" w:cs="等线"/>
          <w:sz w:val="24"/>
          <w:szCs w:val="24"/>
          <w:lang w:val="en-US" w:eastAsia="zh-CN"/>
        </w:rPr>
      </w:pPr>
      <w:r>
        <w:rPr>
          <w:rFonts w:hint="default" w:ascii="等线" w:hAnsi="等线" w:eastAsia="等线" w:cs="等线"/>
          <w:sz w:val="24"/>
          <w:szCs w:val="24"/>
          <w:lang w:val="en-US" w:eastAsia="zh-CN"/>
        </w:rPr>
        <w:t>注册地址：浙江省台州市仙居县仙药路1号</w:t>
      </w:r>
    </w:p>
    <w:p>
      <w:pPr>
        <w:spacing w:line="120" w:lineRule="auto"/>
        <w:ind w:firstLine="480"/>
        <w:jc w:val="left"/>
        <w:rPr>
          <w:rFonts w:hint="default" w:ascii="等线" w:hAnsi="等线" w:eastAsia="等线" w:cs="等线"/>
          <w:sz w:val="24"/>
          <w:szCs w:val="24"/>
          <w:lang w:val="en-US" w:eastAsia="zh-CN"/>
        </w:rPr>
      </w:pPr>
      <w:r>
        <w:rPr>
          <w:rFonts w:hint="default" w:ascii="等线" w:hAnsi="等线" w:eastAsia="等线" w:cs="等线"/>
          <w:sz w:val="24"/>
          <w:szCs w:val="24"/>
          <w:lang w:val="en-US" w:eastAsia="zh-CN"/>
        </w:rPr>
        <w:t>生产企业：浙江仙琚制药股份有限公司</w:t>
      </w:r>
    </w:p>
    <w:p>
      <w:pPr>
        <w:spacing w:line="120" w:lineRule="auto"/>
        <w:ind w:firstLine="480"/>
        <w:jc w:val="left"/>
        <w:rPr>
          <w:rFonts w:hint="default" w:ascii="等线" w:hAnsi="等线" w:eastAsia="等线" w:cs="等线"/>
          <w:sz w:val="24"/>
          <w:szCs w:val="24"/>
          <w:lang w:val="en-US" w:eastAsia="zh-CN"/>
        </w:rPr>
      </w:pPr>
      <w:r>
        <w:rPr>
          <w:rFonts w:hint="default" w:ascii="等线" w:hAnsi="等线" w:eastAsia="等线" w:cs="等线"/>
          <w:sz w:val="24"/>
          <w:szCs w:val="24"/>
          <w:lang w:val="en-US" w:eastAsia="zh-CN"/>
        </w:rPr>
        <w:t>生产地址：浙江省台州市仙居县福应街道现代工业集聚区兴业路6号</w:t>
      </w:r>
    </w:p>
    <w:p>
      <w:pPr>
        <w:ind w:firstLine="0" w:firstLineChars="0"/>
        <w:rPr>
          <w:rFonts w:hint="default" w:ascii="等线" w:hAnsi="等线" w:eastAsia="等线" w:cs="等线"/>
          <w:b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sz w:val="28"/>
          <w:szCs w:val="28"/>
          <w:lang w:val="en-US" w:eastAsia="zh-CN"/>
        </w:rPr>
        <w:t>使用和操作说明</w:t>
      </w:r>
    </w:p>
    <w:p>
      <w:pPr>
        <w:spacing w:line="120" w:lineRule="auto"/>
        <w:ind w:firstLine="480"/>
        <w:jc w:val="lef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使用前</w:t>
      </w:r>
    </w:p>
    <w:p>
      <w:pPr>
        <w:spacing w:line="120" w:lineRule="auto"/>
        <w:ind w:firstLine="480"/>
        <w:jc w:val="lef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1、上下振摇瓶子使药液充分混匀，拔掉防尘帽；</w:t>
      </w:r>
    </w:p>
    <w:p>
      <w:pPr>
        <w:spacing w:line="120" w:lineRule="auto"/>
        <w:ind w:firstLine="480"/>
        <w:jc w:val="lef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2、用右手大拇指或右手掌心托在瓶底，食指和中指分别放在喷头两侧，夹住喷头；</w:t>
      </w:r>
    </w:p>
    <w:p>
      <w:pPr>
        <w:spacing w:line="120" w:lineRule="auto"/>
        <w:ind w:firstLine="480"/>
        <w:jc w:val="lef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3、如第一次使用或14日或更久未使用，请检查喷雾器喷雾是否正常。可用食指和中指均匀揿压喷头两侧，对空揿压数次，直到喷出药液为止；</w:t>
      </w:r>
    </w:p>
    <w:p>
      <w:pPr>
        <w:spacing w:line="120" w:lineRule="auto"/>
        <w:ind w:firstLine="480"/>
        <w:jc w:val="lef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使用时</w:t>
      </w:r>
    </w:p>
    <w:p>
      <w:pPr>
        <w:spacing w:line="120" w:lineRule="auto"/>
        <w:ind w:firstLine="480"/>
        <w:jc w:val="lef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保持自然头位（不用抬头），将鼻喷雾剂的喷头移入鼻腔内，保持瓶子基本竖直，轻轻地用鼻吸气同时揿压喷头两侧喷出药液；</w:t>
      </w:r>
    </w:p>
    <w:p>
      <w:pPr>
        <w:spacing w:line="120" w:lineRule="auto"/>
        <w:ind w:firstLine="480"/>
        <w:jc w:val="lef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使用后</w:t>
      </w:r>
    </w:p>
    <w:p>
      <w:pPr>
        <w:spacing w:line="120" w:lineRule="auto"/>
        <w:ind w:firstLine="480"/>
        <w:jc w:val="lef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1、</w:t>
      </w:r>
      <w:r>
        <w:rPr>
          <w:rFonts w:hint="eastAsia" w:ascii="等线" w:hAnsi="等线" w:eastAsia="等线" w:cs="等线"/>
          <w:sz w:val="24"/>
          <w:szCs w:val="24"/>
        </w:rPr>
        <w:t>用纱布或手帕擦干，盖上防尘帽。</w:t>
      </w:r>
    </w:p>
    <w:p>
      <w:pPr>
        <w:spacing w:line="120" w:lineRule="auto"/>
        <w:ind w:firstLine="480"/>
        <w:jc w:val="lef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2、</w:t>
      </w:r>
      <w:r>
        <w:rPr>
          <w:rFonts w:hint="eastAsia" w:ascii="等线" w:hAnsi="等线" w:eastAsia="等线" w:cs="等线"/>
          <w:sz w:val="24"/>
          <w:szCs w:val="24"/>
        </w:rPr>
        <w:t>常规清洁鼻喷雾器非常重要，否则将影响鼻喷雾器的正常工作。按下述方法彻底清洁装置:</w:t>
      </w:r>
    </w:p>
    <w:p>
      <w:pPr>
        <w:spacing w:line="120" w:lineRule="auto"/>
        <w:ind w:firstLine="480"/>
        <w:jc w:val="lef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清洁</w:t>
      </w:r>
    </w:p>
    <w:p>
      <w:pPr>
        <w:spacing w:line="120" w:lineRule="auto"/>
        <w:ind w:firstLine="480"/>
        <w:jc w:val="lef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①、清洁时，取下防尘帽，轻轻取下喷嘴</w:t>
      </w:r>
    </w:p>
    <w:p>
      <w:pPr>
        <w:spacing w:line="120" w:lineRule="auto"/>
        <w:ind w:firstLine="480"/>
        <w:jc w:val="lef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②、温水中清洗喷嘴和防尘帽，然后在流动的水流下冲洗。</w:t>
      </w:r>
    </w:p>
    <w:p>
      <w:pPr>
        <w:spacing w:line="120" w:lineRule="auto"/>
        <w:ind w:firstLine="480"/>
        <w:jc w:val="lef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③、清洗后可将本品放置于温暖的空间干燥，将喷嘴还原与瓶身相连，并盖上防尘帽。</w:t>
      </w:r>
    </w:p>
    <w:p>
      <w:pPr>
        <w:spacing w:line="120" w:lineRule="auto"/>
        <w:ind w:firstLine="480"/>
        <w:jc w:val="lef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④、禁止插入针或其他尖锐的器具刺穿喷嘴，此操作会损坏喷嘴，导致无法释放正确剂量的药物。</w:t>
      </w:r>
    </w:p>
    <w:p>
      <w:pPr>
        <w:ind w:firstLine="0" w:firstLineChars="0"/>
        <w:rPr>
          <w:rFonts w:hint="eastAsia" w:ascii="等线" w:hAnsi="等线" w:eastAsia="等线" w:cs="等线"/>
          <w:b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sz w:val="28"/>
          <w:szCs w:val="28"/>
          <w:lang w:val="en-US" w:eastAsia="zh-CN"/>
        </w:rPr>
        <w:t>注意事项</w:t>
      </w:r>
    </w:p>
    <w:p>
      <w:pPr>
        <w:spacing w:line="120" w:lineRule="auto"/>
        <w:ind w:firstLine="480"/>
        <w:jc w:val="lef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禁止刺穿喷嘴。</w:t>
      </w:r>
    </w:p>
    <w:p>
      <w:pPr>
        <w:spacing w:line="120" w:lineRule="auto"/>
        <w:ind w:firstLine="480"/>
        <w:jc w:val="lef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鼻喷雾器的清洁：清洁时，取下防尘帽，轻轻取下喷嘴，在温水中清洗喷嘴和防尘帽，然后在流动的水流下冲洗。禁止插入针或其他尖锐的器具刺穿喷嘴，此操作会损坏喷嘴，导致无法释放正确剂量的药物。清洗后可将本品放置于温暖的空间干燥，将喷嘴还原与瓶身相连，并盖上防尘帽。清洗后首次使用时需手揿喷雾剂2次以重新启动。</w:t>
      </w:r>
    </w:p>
    <w:p>
      <w:pPr>
        <w:spacing w:line="120" w:lineRule="auto"/>
        <w:ind w:firstLine="480"/>
        <w:jc w:val="lef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使用后，用纱布或手帕擦干，盖上瓶盖。</w:t>
      </w:r>
    </w:p>
    <w:p>
      <w:pPr>
        <w:spacing w:line="120" w:lineRule="auto"/>
        <w:ind w:firstLine="480"/>
        <w:jc w:val="lef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对于未经治疗的鼻粘膜局部感染，不应使用本品。</w:t>
      </w:r>
    </w:p>
    <w:p>
      <w:pPr>
        <w:spacing w:line="120" w:lineRule="auto"/>
        <w:ind w:firstLine="480"/>
        <w:jc w:val="lef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对于活动性或静止性呼吸道结核感染、未经治疗的真菌、细菌、全身性病毒感染或眼单纯疱疹的患者慎用本品。</w:t>
      </w:r>
    </w:p>
    <w:p>
      <w:pPr>
        <w:spacing w:line="120" w:lineRule="auto"/>
        <w:ind w:firstLine="480"/>
        <w:jc w:val="lef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运动员慎用。</w:t>
      </w:r>
    </w:p>
    <w:p>
      <w:pPr>
        <w:spacing w:line="120" w:lineRule="auto"/>
        <w:ind w:firstLine="480"/>
        <w:jc w:val="left"/>
        <w:rPr>
          <w:rFonts w:hint="eastAsia" w:ascii="等线" w:hAnsi="等线" w:eastAsia="等线" w:cs="等线"/>
          <w:sz w:val="24"/>
          <w:szCs w:val="24"/>
        </w:rPr>
      </w:pPr>
    </w:p>
    <w:p>
      <w:pPr>
        <w:spacing w:line="120" w:lineRule="auto"/>
        <w:ind w:firstLine="480"/>
        <w:jc w:val="left"/>
        <w:rPr>
          <w:rFonts w:ascii="等线" w:hAnsi="等线" w:eastAsia="等线" w:cs="等线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MGYyNTU1ODlhZDkzY2EzNTljMWQ4ZTA2ZThhYmMifQ=="/>
  </w:docVars>
  <w:rsids>
    <w:rsidRoot w:val="001876D9"/>
    <w:rsid w:val="000275C8"/>
    <w:rsid w:val="00073704"/>
    <w:rsid w:val="000E59AA"/>
    <w:rsid w:val="0011259B"/>
    <w:rsid w:val="00157AEB"/>
    <w:rsid w:val="001644CE"/>
    <w:rsid w:val="001876D9"/>
    <w:rsid w:val="001929E6"/>
    <w:rsid w:val="00195FC3"/>
    <w:rsid w:val="001B1910"/>
    <w:rsid w:val="001B77D6"/>
    <w:rsid w:val="001C72D4"/>
    <w:rsid w:val="001D7A27"/>
    <w:rsid w:val="002165D6"/>
    <w:rsid w:val="0022454C"/>
    <w:rsid w:val="00227695"/>
    <w:rsid w:val="002555B9"/>
    <w:rsid w:val="00255995"/>
    <w:rsid w:val="002A485D"/>
    <w:rsid w:val="002B18A3"/>
    <w:rsid w:val="002B5632"/>
    <w:rsid w:val="002B5DC0"/>
    <w:rsid w:val="002F6AD5"/>
    <w:rsid w:val="00303337"/>
    <w:rsid w:val="00334CD2"/>
    <w:rsid w:val="00352AA4"/>
    <w:rsid w:val="003A1450"/>
    <w:rsid w:val="003E0B5C"/>
    <w:rsid w:val="003F7E45"/>
    <w:rsid w:val="00403072"/>
    <w:rsid w:val="00443543"/>
    <w:rsid w:val="00453A1C"/>
    <w:rsid w:val="00492FD5"/>
    <w:rsid w:val="004C51B9"/>
    <w:rsid w:val="004C534B"/>
    <w:rsid w:val="004C6D92"/>
    <w:rsid w:val="00574C58"/>
    <w:rsid w:val="00581868"/>
    <w:rsid w:val="00592891"/>
    <w:rsid w:val="005A15C7"/>
    <w:rsid w:val="005D2C12"/>
    <w:rsid w:val="005D5AF1"/>
    <w:rsid w:val="00604489"/>
    <w:rsid w:val="00611330"/>
    <w:rsid w:val="0061446D"/>
    <w:rsid w:val="00665490"/>
    <w:rsid w:val="0067782F"/>
    <w:rsid w:val="00680CCF"/>
    <w:rsid w:val="006B376D"/>
    <w:rsid w:val="006B4A27"/>
    <w:rsid w:val="006E2E60"/>
    <w:rsid w:val="006E3439"/>
    <w:rsid w:val="00721BDD"/>
    <w:rsid w:val="00735C29"/>
    <w:rsid w:val="007B0BDD"/>
    <w:rsid w:val="007E143D"/>
    <w:rsid w:val="007E4A8A"/>
    <w:rsid w:val="007E7033"/>
    <w:rsid w:val="007F0D3A"/>
    <w:rsid w:val="0083760E"/>
    <w:rsid w:val="00861B14"/>
    <w:rsid w:val="00873F1C"/>
    <w:rsid w:val="00891795"/>
    <w:rsid w:val="008C4AE4"/>
    <w:rsid w:val="008D6875"/>
    <w:rsid w:val="00901A9F"/>
    <w:rsid w:val="00953302"/>
    <w:rsid w:val="00971E0B"/>
    <w:rsid w:val="009B0A28"/>
    <w:rsid w:val="009B0BC7"/>
    <w:rsid w:val="009C3C80"/>
    <w:rsid w:val="00A04E12"/>
    <w:rsid w:val="00A25EAE"/>
    <w:rsid w:val="00A87B51"/>
    <w:rsid w:val="00AB29B2"/>
    <w:rsid w:val="00AC6344"/>
    <w:rsid w:val="00AC641F"/>
    <w:rsid w:val="00AF066B"/>
    <w:rsid w:val="00B57AAF"/>
    <w:rsid w:val="00B67F04"/>
    <w:rsid w:val="00B83D24"/>
    <w:rsid w:val="00C32015"/>
    <w:rsid w:val="00CB6DDF"/>
    <w:rsid w:val="00CE460C"/>
    <w:rsid w:val="00D1157C"/>
    <w:rsid w:val="00D1526E"/>
    <w:rsid w:val="00D80C4C"/>
    <w:rsid w:val="00DA02C8"/>
    <w:rsid w:val="00DF10F8"/>
    <w:rsid w:val="00E0413E"/>
    <w:rsid w:val="00E475BF"/>
    <w:rsid w:val="00E50234"/>
    <w:rsid w:val="00E66FE6"/>
    <w:rsid w:val="00E83DAE"/>
    <w:rsid w:val="00E85557"/>
    <w:rsid w:val="00EA765B"/>
    <w:rsid w:val="00EE30D0"/>
    <w:rsid w:val="00F02E64"/>
    <w:rsid w:val="00F22475"/>
    <w:rsid w:val="00F45385"/>
    <w:rsid w:val="00F66A54"/>
    <w:rsid w:val="00FD2F47"/>
    <w:rsid w:val="00FD37B9"/>
    <w:rsid w:val="030C3608"/>
    <w:rsid w:val="046F31BD"/>
    <w:rsid w:val="0702140B"/>
    <w:rsid w:val="19CA208D"/>
    <w:rsid w:val="1BB560A0"/>
    <w:rsid w:val="1C6A7C7F"/>
    <w:rsid w:val="1D4C4CEC"/>
    <w:rsid w:val="1EB57EBC"/>
    <w:rsid w:val="1FFD560A"/>
    <w:rsid w:val="22A3561B"/>
    <w:rsid w:val="25786963"/>
    <w:rsid w:val="272F13E2"/>
    <w:rsid w:val="28E02339"/>
    <w:rsid w:val="2F402F20"/>
    <w:rsid w:val="34813F54"/>
    <w:rsid w:val="382748A0"/>
    <w:rsid w:val="388F6483"/>
    <w:rsid w:val="3953099D"/>
    <w:rsid w:val="534C3D5B"/>
    <w:rsid w:val="56D847E2"/>
    <w:rsid w:val="57414983"/>
    <w:rsid w:val="58470878"/>
    <w:rsid w:val="5AE96F7B"/>
    <w:rsid w:val="64BA7B35"/>
    <w:rsid w:val="6862040E"/>
    <w:rsid w:val="69546B3B"/>
    <w:rsid w:val="6D730699"/>
    <w:rsid w:val="6D995997"/>
    <w:rsid w:val="6EA80864"/>
    <w:rsid w:val="74CA2054"/>
    <w:rsid w:val="774C29B8"/>
    <w:rsid w:val="778C10A8"/>
    <w:rsid w:val="7BED02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ind w:firstLine="0" w:firstLineChars="0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3"/>
    <w:semiHidden/>
    <w:qFormat/>
    <w:uiPriority w:val="99"/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</w:rPr>
  </w:style>
  <w:style w:type="character" w:customStyle="1" w:styleId="17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j-part-audio-text"/>
    <w:basedOn w:val="9"/>
    <w:qFormat/>
    <w:uiPriority w:val="0"/>
  </w:style>
  <w:style w:type="paragraph" w:styleId="1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F415C-6D31-4C5B-A31D-0EC57B3EA4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4</Pages>
  <Words>1418</Words>
  <Characters>1524</Characters>
  <Lines>5</Lines>
  <Paragraphs>1</Paragraphs>
  <TotalTime>1</TotalTime>
  <ScaleCrop>false</ScaleCrop>
  <LinksUpToDate>false</LinksUpToDate>
  <CharactersWithSpaces>1531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2021-06-24T08:40:00Z</dcterms:created>
  <dc:creator>运营 小帮手</dc:creator>
  <cp:lastModifiedBy>Qing</cp:lastModifiedBy>
  <dcterms:modified xsi:type="dcterms:W3CDTF">2023-05-30T09:44:44Z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FE6A0DB50BA4478F8052A14D799989AA_13</vt:lpwstr>
  </property>
</Properties>
</file>